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CFC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Songti SC" w:cs="Songti SC"/>
          <w:sz w:val="32"/>
          <w:szCs w:val="40"/>
          <w:lang w:val="en-US" w:eastAsia="zh-CN"/>
        </w:rPr>
      </w:pPr>
      <w:r>
        <w:rPr>
          <w:rFonts w:hint="eastAsia" w:ascii="Times New Roman" w:hAnsi="Times New Roman" w:eastAsia="Songti SC" w:cs="Songti SC"/>
          <w:sz w:val="32"/>
          <w:szCs w:val="40"/>
        </w:rPr>
        <w:t>最佳木质素油—寻找最适宜的原料替代可持续航空燃料中的环烷烃</w:t>
      </w:r>
    </w:p>
    <w:p w14:paraId="523F86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eastAsia="Songti SC" w:cs="Songti SC"/>
          <w:lang w:val="en-US" w:eastAsia="zh-CN"/>
        </w:rPr>
      </w:pPr>
      <w:r>
        <w:rPr>
          <w:rFonts w:hint="eastAsia" w:ascii="Times New Roman" w:hAnsi="Times New Roman" w:eastAsia="Songti SC" w:cs="Songti SC"/>
          <w:lang w:val="en-US" w:eastAsia="zh-CN"/>
        </w:rPr>
        <w:t>来源：</w:t>
      </w:r>
      <w:r>
        <w:rPr>
          <w:rFonts w:hint="eastAsia" w:ascii="Times New Roman" w:hAnsi="Times New Roman" w:eastAsia="Songti SC" w:cs="Songti SC"/>
          <w:lang w:val="en-US" w:eastAsia="zh-CN"/>
        </w:rPr>
        <w:fldChar w:fldCharType="begin"/>
      </w:r>
      <w:r>
        <w:rPr>
          <w:rFonts w:hint="eastAsia" w:ascii="Times New Roman" w:hAnsi="Times New Roman" w:eastAsia="Songti SC" w:cs="Songti SC"/>
          <w:lang w:val="en-US" w:eastAsia="zh-CN"/>
        </w:rPr>
        <w:instrText xml:space="preserve"> HYPERLINK "javascript:void(0);" </w:instrText>
      </w:r>
      <w:r>
        <w:rPr>
          <w:rFonts w:hint="eastAsia" w:ascii="Times New Roman" w:hAnsi="Times New Roman" w:eastAsia="Songti SC" w:cs="Songti SC"/>
          <w:lang w:val="en-US" w:eastAsia="zh-CN"/>
        </w:rPr>
        <w:fldChar w:fldCharType="separate"/>
      </w:r>
      <w:r>
        <w:rPr>
          <w:rFonts w:hint="eastAsia" w:ascii="Times New Roman" w:hAnsi="Times New Roman" w:eastAsia="Songti SC" w:cs="Songti SC"/>
        </w:rPr>
        <w:t>民航环境与可持续发展智库</w:t>
      </w:r>
      <w:r>
        <w:rPr>
          <w:rFonts w:hint="eastAsia" w:ascii="Times New Roman" w:hAnsi="Times New Roman" w:eastAsia="Songti SC" w:cs="Songti SC"/>
          <w:lang w:val="en-US" w:eastAsia="zh-CN"/>
        </w:rPr>
        <w:fldChar w:fldCharType="end"/>
      </w:r>
    </w:p>
    <w:p w14:paraId="4A66689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Times New Roman" w:hAnsi="Times New Roman" w:eastAsia="Songti SC" w:cs="Songti SC"/>
          <w:lang w:val="en-US" w:eastAsia="zh-CN"/>
        </w:rPr>
      </w:pPr>
      <w:r>
        <w:rPr>
          <w:rFonts w:hint="eastAsia" w:ascii="Times New Roman" w:hAnsi="Times New Roman" w:eastAsia="Songti SC" w:cs="Songti SC"/>
          <w:kern w:val="2"/>
          <w:sz w:val="28"/>
          <w:szCs w:val="36"/>
          <w:lang w:val="en-US" w:eastAsia="zh-CN" w:bidi="ar-SA"/>
        </w:rPr>
        <w:t>一、</w:t>
      </w:r>
      <w:r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  <w:t>研究简介</w:t>
      </w:r>
    </w:p>
    <w:p w14:paraId="52B563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随着航空业快速发展，传统化石燃料需求持续增长，但其温室气体排放问题日益严峻。开发可持续航空燃料（SAF）成为减少碳排放的关键途径。目前，SAF主要来源于动植物油脂，但其成分以直链和支链烷烃为主，但无法完全替代传统燃料中的芳香烃和环烷烃。木质素作为丰富的可再生芳香族化合物来源，其催化转化为环烷烃的潜力备受关注。</w:t>
      </w:r>
    </w:p>
    <w:p w14:paraId="4740EF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本研究探索了三种木质素油（桉木、杨木、松木）通过加氢脱氧（HDO）转化为环烷烃的潜力。采用 Ni₃P/SiO₂ 催化剂，在300°C和50 bar氢气下，三种木质素油转化为环烷烃的效率分别达91%、84%和75%，且对航空燃料关键碳数（C9-C15）的选择性优异（桉木油70%、杨木油60%、松木油62%）。研究发现，木质素油的单体含量、γ-羟基（γ-OH）比例和分子量显著影响 HDO 效率。例如，高 γ-OH 会通过脱羰基反应导致碳损失，主要生成 C5 烃类（如环戊烷衍生物）而非 C6 烃类，而分子量过高会降低木质素油在烷烃溶剂中的溶解性，从而阻碍其与催化剂接触，影响 HDO 效率。</w:t>
      </w:r>
    </w:p>
    <w:p w14:paraId="20D56C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与传统有机溶剂法相比，还原催化分馏（RCF）技术能显著提高木质素油单体含量并优化产物分布。该研究首次系统揭示了木质素油化学性质与 HDO 性能的关联，为木质素基 SAF 的工业化生产提供了重要指导，推动航空燃料碳中和目标的实现。</w:t>
      </w:r>
    </w:p>
    <w:p w14:paraId="382392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3675" cy="1633220"/>
            <wp:effectExtent l="0" t="0" r="3175" b="5080"/>
            <wp:docPr id="1" name="图片 1" descr="微信图片_20250523141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5231412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7874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Songti SC" w:cs="Songti SC"/>
          <w:kern w:val="2"/>
          <w:sz w:val="28"/>
          <w:szCs w:val="36"/>
          <w:lang w:val="en-US" w:eastAsia="zh-CN" w:bidi="ar-SA"/>
        </w:rPr>
      </w:pPr>
    </w:p>
    <w:p w14:paraId="464DDC5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</w:pPr>
      <w:r>
        <w:rPr>
          <w:rFonts w:hint="eastAsia" w:ascii="Times New Roman" w:hAnsi="Times New Roman" w:eastAsia="Songti SC" w:cs="Songti SC"/>
          <w:kern w:val="2"/>
          <w:sz w:val="28"/>
          <w:szCs w:val="36"/>
          <w:lang w:val="en-US" w:eastAsia="zh-CN" w:bidi="ar-SA"/>
        </w:rPr>
        <w:t>二、</w:t>
      </w:r>
      <w:r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  <w:t>研究方法</w:t>
      </w:r>
    </w:p>
    <w:p w14:paraId="67324518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  <w:t>本文采用了混合研究方法，结合定量与定性分析手段，全面审视了 SAF 领域的发展现状。本研究采用多步骤实验方法，包括木质素油的制备、HDO反应、产物分析及性能评估，以探究不同木质素油作为SAF原料的适用性。以下是详细的研究方法：</w:t>
      </w:r>
    </w:p>
    <w:p w14:paraId="4B98FB98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2" w:firstLineChars="200"/>
        <w:textAlignment w:val="auto"/>
        <w:rPr>
          <w:rFonts w:hint="eastAsia" w:ascii="Times New Roman" w:hAnsi="Times New Roman" w:eastAsia="Songti SC Regular" w:cs="Songti SC Regular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/>
          <w:bCs/>
          <w:sz w:val="24"/>
          <w:szCs w:val="32"/>
          <w:lang w:val="en-US" w:eastAsia="zh-CN"/>
        </w:rPr>
        <w:t>（1）木质素油的制备</w:t>
      </w:r>
    </w:p>
    <w:p w14:paraId="0F3AAE4A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  <w:t>木质素油通过 RCF 方法从三种不同木材（桉木、杨木和松木）中提取。RCF 反应在235°C、30 bar氢气压力下进行，使用 Ru/C 或 Pd/C 作为催化剂，甲醇作为溶剂。此外，本研究还对比了其他生物精炼方法，包括早期催化转化木质素（ECCL）和有机溶剂法（Organosolv），以评估不同工艺对木质素油性质的影响。</w:t>
      </w:r>
    </w:p>
    <w:p w14:paraId="5AC62F2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2" w:firstLineChars="200"/>
        <w:textAlignment w:val="auto"/>
        <w:rPr>
          <w:rFonts w:hint="eastAsia" w:ascii="Times New Roman" w:hAnsi="Times New Roman" w:eastAsia="Songti SC Regular" w:cs="Songti SC Regular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/>
          <w:bCs/>
          <w:sz w:val="24"/>
          <w:szCs w:val="32"/>
          <w:lang w:val="en-US" w:eastAsia="zh-CN"/>
        </w:rPr>
        <w:t>（2）催化加氢脱氧（HDO）实验</w:t>
      </w:r>
    </w:p>
    <w:p w14:paraId="038D673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  <w:t>HDO 反应在高压反应釜中进行，采用 Ni₃P/SiO₂ 催化剂，反应条件为300°C、50 bar氢气压力，反应时间为22小时。木质素油（0.1 g）与催化剂（0.08 g）在十二烷溶剂中混合，以确保均匀反应。反应完成后，通过离心分离催化剂，液体产物经 GC-MS/FID（气相色谱-质谱/火焰离子化检测器）分析。</w:t>
      </w:r>
    </w:p>
    <w:p w14:paraId="77FBE655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2" w:firstLineChars="200"/>
        <w:textAlignment w:val="auto"/>
        <w:rPr>
          <w:rFonts w:hint="eastAsia" w:ascii="Times New Roman" w:hAnsi="Times New Roman" w:eastAsia="Songti SC Regular" w:cs="Songti SC Regular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/>
          <w:bCs/>
          <w:sz w:val="24"/>
          <w:szCs w:val="32"/>
          <w:lang w:val="en-US" w:eastAsia="zh-CN"/>
        </w:rPr>
        <w:t>（3）产物分析与表征</w:t>
      </w:r>
    </w:p>
    <w:p w14:paraId="361CCCB5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  <w:t>①GC-MS/FID分析：用于鉴定HDO产物中的碳氢化合物组成，并通过NIST数据库比对确认各化合物结构。产物按碳数（C6-C18）分类，计算C9-C15范围内的选择性（航空燃料关键组分）。</w:t>
      </w:r>
    </w:p>
    <w:p w14:paraId="5541764F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  <w:t>②二维气相色谱（GC×GC-EI-TOFMS）：对最优样品（RCF杨木Ru/C）进行更精确的组分分析，以验证航空燃料范围烃类的分布。</w:t>
      </w:r>
    </w:p>
    <w:p w14:paraId="1B83CFE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  <w:t>③元素分析：测定HDO产物的碳、氢、氧含量，计算脱氧率（≥88%）。</w:t>
      </w:r>
    </w:p>
    <w:p w14:paraId="03E0081D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  <w:t>④核磁共振（NMR）：通过1H-13C HSQC NMR分析木质素油的化学结构，量化γ-OH含量及单体/寡聚体比例。</w:t>
      </w:r>
    </w:p>
    <w:p w14:paraId="075DC82D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  <w:t>⑤凝胶渗透色谱（GPC）：测定木质素油的分子量分布，评估其溶解度对HDO效率的影响。低分子量木质素油（如 RCF 系列）在十二烷中溶解度高达90 wt%，能充分接触催化剂活性位点，实现高效转化（如 RCF 桉木油环烷烃产率91%）和优异的 C9-C15 选择性（60-70%）；而高分子量样品（如Organosolv 2，Mw=5950 g/mol）因含有更多缩合结构，溶解度仅38 wt%，不溶部分阻碍反应物扩散，导致总烃收率降至27 wt%且生成非目标碳数产物。这表明通过优化生物炼制工艺（如 RCF 法）控制分子量，可显著提升木质素油转化为航空燃料的效率。</w:t>
      </w:r>
    </w:p>
    <w:p w14:paraId="75F60AE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2" w:firstLineChars="200"/>
        <w:textAlignment w:val="auto"/>
        <w:rPr>
          <w:rFonts w:hint="eastAsia" w:ascii="Times New Roman" w:hAnsi="Times New Roman" w:eastAsia="Songti SC Regular" w:cs="Songti SC Regular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/>
          <w:bCs/>
          <w:sz w:val="24"/>
          <w:szCs w:val="32"/>
          <w:lang w:val="en-US" w:eastAsia="zh-CN"/>
        </w:rPr>
        <w:t>（4）关键参数评估</w:t>
      </w:r>
    </w:p>
    <w:p w14:paraId="590E6D1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  <w:t>①总烃产率：以重量百分比表示，基于元素分析理论最大碳回收率计算，反映木质素油转化为烃类的整体效率。例如，RCF 桉木 Ru/C 油经 HDO 后总环烷烃产率达 91%，显著高于 ECCL 和 Organosolv 油的 67.4% 和 27%。</w:t>
      </w:r>
    </w:p>
    <w:p w14:paraId="50B52EF8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  <w:t>②航空燃料范围选择性：定义为C9-C15烃类占总烃产物（C8-C18）的比例，用于衡量产物与传统航空燃料碳数范围的匹配度。RCF 油的该选择性为 60%-70%，其中桉木 Ru/C 油达 70.5%，显著优于非 RCF 方法（如 ECCL 油仅 29.6%）。</w:t>
      </w:r>
    </w:p>
    <w:p w14:paraId="57B5070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  <w:t>③γ-OH含量与分子量的影响：通过合成混合实验（如RCF 杨木 Ru/C 与 Pd/C 的混合）验证 γ-OH 对 HDO 反应后生成的烃类混合物分布的调控作用。具体表现为：γ-OH 通过脱羰反应使产物向低碳数（C5）偏移，导致 C9-C15 航空燃料组分选择性降低（γ-OH 每增加10%，选择性下降约8%）；而高分子量则通过降低溶解性（如 Organosolv 2 溶解度仅38%）阻碍传质，产生非目标裂解产物。二者协同作用显著，如 RCF 油因低分子量（Mw&lt;2000 g/mol）和高溶解度（&gt;90%）可部分抵消γ-OH的负面影响（松木Ru/C 仍保持 62% 选择性）。这表明，通过优化生物炼制工艺同时控制 γ-OH 含量和分子量，是实现高效航空燃料生产的关键策略。</w:t>
      </w:r>
    </w:p>
    <w:p w14:paraId="500CAD48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2" w:firstLineChars="200"/>
        <w:textAlignment w:val="auto"/>
        <w:rPr>
          <w:rFonts w:hint="eastAsia" w:ascii="Times New Roman" w:hAnsi="Times New Roman" w:eastAsia="Songti SC Regular" w:cs="Songti SC Regular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/>
          <w:bCs/>
          <w:sz w:val="24"/>
          <w:szCs w:val="32"/>
          <w:lang w:val="en-US" w:eastAsia="zh-CN"/>
        </w:rPr>
        <w:t>（5）对比实验</w:t>
      </w:r>
    </w:p>
    <w:p w14:paraId="0CBDE531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  <w:t>为验证RCF法的优越性，本研究对比了不同木质素油的HDO 性能：</w:t>
      </w:r>
    </w:p>
    <w:p w14:paraId="2E0707B9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  <w:t>① RCF 油（Ru/C vs. Pd/C）：Ru/C催化剂生成的木质素油γ-OH更低（如杨木 Ru/C 油 γ-OH 比 Pd/C 低 15%），其 HDO 产物中C9-C15选择性提高10%-15%，证实催化剂对端基结构的调控作用。</w:t>
      </w:r>
    </w:p>
    <w:p w14:paraId="4E1FA104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  <w:t>② ECCL 与 Organosolv 油：两类传统方法制备的油因高 Mw（1986-5950 g/mol）和低溶解度（38%-75%），导致 HDO 总产率（27%-67.4%）和选择性（29.6%-44.8%）显著低于 RCF 油，验证了分子量和溶解性对反应效率的关键影响。</w:t>
      </w:r>
    </w:p>
    <w:p w14:paraId="465FF3A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textAlignment w:val="auto"/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</w:pPr>
    </w:p>
    <w:p w14:paraId="5F965B7D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textAlignment w:val="auto"/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</w:pPr>
      <w:r>
        <w:rPr>
          <w:rFonts w:hint="eastAsia" w:ascii="Times New Roman" w:hAnsi="Times New Roman" w:eastAsia="Songti SC" w:cs="Songti SC"/>
          <w:kern w:val="0"/>
          <w:sz w:val="28"/>
          <w:szCs w:val="36"/>
          <w:lang w:val="en-US" w:eastAsia="zh-CN" w:bidi="ar"/>
        </w:rPr>
        <w:t>三、</w:t>
      </w:r>
      <w:r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  <w:t>研究结论</w:t>
      </w:r>
    </w:p>
    <w:p w14:paraId="750A304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2" w:firstLineChars="200"/>
        <w:jc w:val="left"/>
        <w:textAlignment w:val="auto"/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（1）RCF木质素油是高效SAF原料：</w:t>
      </w:r>
      <w:r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桉木、杨木和松木的 RCF 油经 HDO 后，环烷烃产率分别达91%、84%和75%，且C9-C15选择性为70%、60%和62%，显著优于ECCL 和 Organosolv 油。Ru/C 催化剂在 RCF 过程中能减少 γ-OH 生成，提高航空燃料范围烃类的产率。</w:t>
      </w:r>
    </w:p>
    <w:p w14:paraId="1CD2A61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2" w:firstLineChars="200"/>
        <w:jc w:val="left"/>
        <w:textAlignment w:val="auto"/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（2）木质素油化学性质决定HDO性能：</w:t>
      </w:r>
      <w:r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①低 γ-OH 含量：减少脱羰副反应导致的碳损失，提高 C9-C15 选择性。②低分子量（高溶解度）：RCF 油在十二烷中溶解度达90%，而 Organosolv 油仅38%，影响催化效率。</w:t>
      </w:r>
    </w:p>
    <w:p w14:paraId="0C773FF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2" w:firstLineChars="200"/>
        <w:jc w:val="left"/>
        <w:textAlignment w:val="auto"/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（3）生物精炼方法的关键作用：</w:t>
      </w:r>
      <w:r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RCF通过保留高单体含量（如 hardwood 木质素油中单体占比超 60%）和低缩合结构（避免碳 - 碳键过度交联），显著提升 HDO 效率。相比之下，传统有机溶剂法（Organosolv）因缺乏催化干预，导致木质素发生不可逆缩聚，生成高分子量（Mw 达 5950 g/mol）、高 γ-OH 含量（比 RCF 油高 20%-30%）的产物，其在十二烷中溶解度仅 38%，远低于 RCF 油的 90%，严重限制催化转化效率。</w:t>
      </w:r>
    </w:p>
    <w:p w14:paraId="67B9E69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2" w:firstLineChars="200"/>
        <w:jc w:val="left"/>
        <w:textAlignment w:val="auto"/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（4）工业化应用潜力：</w:t>
      </w:r>
      <w:r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本研究为木质素基SAF的规模化生产提供了工艺优化方向，未来可通过以下途径优化：①催化剂筛选：Ru/C 相比 Pd/C 更利于生成低 γ-OH、高选择性产物，可进一步开发低成本高效催化剂（如 Ni 基催化剂）降低工业成本。②工艺参数调控：调整 RCF 反应温度（如从 235°C 优化至 210°C）、溶剂组成（如引入乙醇 / 水混合溶剂），可调控木质素油的单体 / 寡聚体比例及端基结构，进一步提升C9-C15选择性至 75% 以上。③原料适应性：软木（松木）虽单体含量较低，但通过延长 RCF 反应时间或增加催化剂用量，仍可实现 75% 的环烷烃产率，表明工艺对不同木材种类具有普适性。</w:t>
      </w:r>
    </w:p>
    <w:p w14:paraId="5E166A9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Times New Roman" w:hAnsi="Times New Roman" w:eastAsia="Songti SC" w:cs="Songti SC Regular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6AFD3CC1">
      <w:pPr>
        <w:keepNext w:val="0"/>
        <w:keepLines w:val="0"/>
        <w:widowControl/>
        <w:suppressLineNumbers w:val="0"/>
        <w:jc w:val="left"/>
        <w:rPr>
          <w:rFonts w:ascii="Times New Roman" w:hAnsi="Times New Roman"/>
        </w:rPr>
      </w:pPr>
      <w:r>
        <w:rPr>
          <w:rFonts w:ascii="Times New Roman" w:hAnsi="Times New Roman" w:eastAsia="宋体" w:cs="宋体"/>
          <w:kern w:val="0"/>
          <w:sz w:val="24"/>
          <w:szCs w:val="24"/>
          <w:lang w:val="en-US" w:eastAsia="zh-CN" w:bidi="ar"/>
        </w:rPr>
        <w:t>文献引用</w:t>
      </w:r>
    </w:p>
    <w:p w14:paraId="1E0D0B2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Pandalone, B., Raikwar, D., Vo, T. A., Vermeiren, W., Beauté, L., &amp; Sels, B. F. (2025). Optimum lignin oil - Finding the most suitable feedstock to replace cycloalkanes in sustainable aviation fuel (SAF). ChemSusChem, 18(3), e202402531.</w:t>
      </w:r>
    </w:p>
    <w:p w14:paraId="1C9AB5D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Times New Roman" w:hAnsi="Times New Roman" w:eastAsia="Songti SC" w:cs="Songti SC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AD437B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Times New Roman" w:hAnsi="Times New Roman" w:eastAsia="Songti SC" w:cs="Songti SC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资料链接：</w:t>
      </w:r>
    </w:p>
    <w:p w14:paraId="3A9282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宋体" w:cs="宋体"/>
          <w:color w:val="000000"/>
          <w:spacing w:val="12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color w:val="000000"/>
          <w:spacing w:val="12"/>
          <w:kern w:val="0"/>
          <w:sz w:val="24"/>
          <w:szCs w:val="24"/>
          <w:u w:val="none"/>
          <w:lang w:val="en-US" w:eastAsia="zh-CN" w:bidi="ar"/>
        </w:rPr>
        <w:t>https://chemistry-europe.onlinelibrary.wiley.com/doi/10.1002/cssc.202402531</w:t>
      </w:r>
    </w:p>
    <w:p w14:paraId="575A4B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/>
          <w:sz w:val="24"/>
          <w:szCs w:val="32"/>
        </w:rPr>
      </w:pPr>
    </w:p>
    <w:p w14:paraId="0E318C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/>
          <w:sz w:val="24"/>
          <w:szCs w:val="32"/>
        </w:rPr>
      </w:pPr>
      <w:r>
        <w:rPr>
          <w:rFonts w:hint="eastAsia" w:ascii="Times New Roman" w:hAnsi="Times New Roman"/>
          <w:sz w:val="24"/>
          <w:szCs w:val="32"/>
        </w:rPr>
        <w:t>资料收集：戴菲 蒋岩硕 梁琨鹏 孙一诺</w:t>
      </w:r>
    </w:p>
    <w:p w14:paraId="07BD20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/>
          <w:sz w:val="24"/>
          <w:szCs w:val="32"/>
        </w:rPr>
      </w:pPr>
      <w:r>
        <w:rPr>
          <w:rFonts w:hint="eastAsia" w:ascii="Times New Roman" w:hAnsi="Times New Roman"/>
          <w:sz w:val="24"/>
          <w:szCs w:val="32"/>
        </w:rPr>
        <w:t>校对：张奕野 贾忠杰</w:t>
      </w:r>
      <w:r>
        <w:rPr>
          <w:rFonts w:hint="eastAsia" w:ascii="Times New Roman" w:hAnsi="Times New Roman"/>
          <w:sz w:val="24"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sz w:val="24"/>
          <w:szCs w:val="32"/>
        </w:rPr>
        <w:t>王君瑶</w:t>
      </w:r>
    </w:p>
    <w:p w14:paraId="548C01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/>
          <w:sz w:val="24"/>
          <w:szCs w:val="32"/>
        </w:rPr>
      </w:pPr>
      <w:bookmarkStart w:id="0" w:name="_GoBack"/>
      <w:bookmarkEnd w:id="0"/>
      <w:r>
        <w:rPr>
          <w:rFonts w:hint="eastAsia" w:ascii="Times New Roman" w:hAnsi="Times New Roman"/>
          <w:sz w:val="24"/>
          <w:szCs w:val="32"/>
        </w:rPr>
        <w:t>审核：陈俣秀 杨晓军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ongti SC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ng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ABF7EBD"/>
    <w:rsid w:val="028267D3"/>
    <w:rsid w:val="0AB17F49"/>
    <w:rsid w:val="0C3C58EC"/>
    <w:rsid w:val="27B46EA4"/>
    <w:rsid w:val="2C386D5B"/>
    <w:rsid w:val="36FEC60B"/>
    <w:rsid w:val="3A751F6D"/>
    <w:rsid w:val="3EF7922A"/>
    <w:rsid w:val="3F01471F"/>
    <w:rsid w:val="44B86A46"/>
    <w:rsid w:val="5B4B5EFB"/>
    <w:rsid w:val="5C9710BF"/>
    <w:rsid w:val="5CD1BE6A"/>
    <w:rsid w:val="5E0E40DE"/>
    <w:rsid w:val="5FB95630"/>
    <w:rsid w:val="609D7C10"/>
    <w:rsid w:val="71BCB725"/>
    <w:rsid w:val="750657D5"/>
    <w:rsid w:val="78653605"/>
    <w:rsid w:val="7C887C03"/>
    <w:rsid w:val="7F4BD20D"/>
    <w:rsid w:val="97D94D30"/>
    <w:rsid w:val="A7BD84BD"/>
    <w:rsid w:val="AABF7EBD"/>
    <w:rsid w:val="ACFF1F92"/>
    <w:rsid w:val="AFEF5518"/>
    <w:rsid w:val="DEFD884A"/>
    <w:rsid w:val="EDDE1178"/>
    <w:rsid w:val="EFB6D1A8"/>
    <w:rsid w:val="F7B3D157"/>
    <w:rsid w:val="FAEEFF77"/>
    <w:rsid w:val="FF7953E1"/>
    <w:rsid w:val="FFD88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ascii="Times New Roman" w:hAnsi="Times New Roman"/>
      <w:b/>
      <w:kern w:val="44"/>
      <w:sz w:val="28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100" w:beforeLines="100" w:beforeAutospacing="0" w:afterLines="0" w:afterAutospacing="0" w:line="413" w:lineRule="auto"/>
      <w:outlineLvl w:val="1"/>
    </w:pPr>
    <w:rPr>
      <w:rFonts w:ascii="Times New Roman" w:hAnsi="Times New Roman" w:eastAsia="黑体"/>
      <w:b/>
      <w:sz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Lines="0" w:afterAutospacing="0" w:line="413" w:lineRule="auto"/>
      <w:jc w:val="left"/>
      <w:outlineLvl w:val="2"/>
    </w:pPr>
    <w:rPr>
      <w:rFonts w:ascii="Times New Roman" w:hAnsi="Times New Roman"/>
      <w:b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标题 2 Char"/>
    <w:link w:val="3"/>
    <w:qFormat/>
    <w:uiPriority w:val="0"/>
    <w:rPr>
      <w:rFonts w:ascii="Times New Roman" w:hAnsi="Times New Roman" w:eastAsia="黑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1551</Words>
  <Characters>2049</Characters>
  <Lines>0</Lines>
  <Paragraphs>0</Paragraphs>
  <TotalTime>38</TotalTime>
  <ScaleCrop>false</ScaleCrop>
  <LinksUpToDate>false</LinksUpToDate>
  <CharactersWithSpaces>2125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2024-06-07T13:29:00Z</dcterms:created>
  <dc:creator>grm</dc:creator>
  <cp:lastModifiedBy>这歌。</cp:lastModifiedBy>
  <dcterms:modified xsi:type="dcterms:W3CDTF">2025-05-23T06:16:56Z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33465D706FA34FC18303F563E47B96CA_13</vt:lpwstr>
  </property>
  <property fmtid="{D5CDD505-2E9C-101B-9397-08002B2CF9AE}" pid="4" name="KSOTemplateDocerSaveRecord">
    <vt:lpwstr>eyJoZGlkIjoiOTc3M2Y5NzIzMDFlZjAyY2Q4Njk5ODkyYjFjNzBiNTQiLCJ1c2VySWQiOiIzODc1MzYwOTUifQ==</vt:lpwstr>
  </property>
</Properties>
</file>